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наличия сопоставимого конкурентного рынка осуществляетсяантимонопольным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Так, например, краткосрочное увеличение хозяйствующим субъектом, занимающим доминирующее положение, цены на товар,обусловленное </w:t>
      </w:r>
      <w:r w:rsidRPr="0068565D">
        <w:rPr>
          <w:rFonts w:ascii="Times New Roman" w:hAnsi="Times New Roman"/>
          <w:sz w:val="28"/>
          <w:szCs w:val="28"/>
        </w:rPr>
        <w:lastRenderedPageBreak/>
        <w:t>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топливообеспечению,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непревышения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 xml:space="preserve">частникам не следует устанавливатьдля официальных </w:t>
      </w:r>
      <w:r w:rsidRPr="00CC442C">
        <w:rPr>
          <w:rFonts w:ascii="Times New Roman" w:hAnsi="Times New Roman"/>
          <w:sz w:val="28"/>
          <w:szCs w:val="28"/>
        </w:rPr>
        <w:lastRenderedPageBreak/>
        <w:t>дилеровфиксированныеценыперепродажи на реализуемуюавтомобильнуюпродукцию, а также стоимостьнормо-часа при выполнениинегарантийного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683AA6"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 xml:space="preserve">правилам недискриминационного доступа к услугам </w:t>
      </w:r>
      <w:r w:rsidRPr="005C6A97">
        <w:rPr>
          <w:rFonts w:ascii="Times New Roman" w:hAnsi="Times New Roman"/>
          <w:b/>
          <w:sz w:val="28"/>
          <w:szCs w:val="28"/>
        </w:rPr>
        <w:lastRenderedPageBreak/>
        <w:t>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w:t>
      </w:r>
      <w:r w:rsidRPr="004C7586">
        <w:rPr>
          <w:rFonts w:ascii="Times New Roman" w:hAnsi="Times New Roman"/>
          <w:i/>
          <w:sz w:val="28"/>
          <w:szCs w:val="28"/>
        </w:rPr>
        <w:lastRenderedPageBreak/>
        <w:t>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10"/>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1"/>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2"/>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последствийв виде</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4"/>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5"/>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6"/>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7"/>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8"/>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 КОНТЕЙНЕРНЫМИ ПЕРЕВОЗЧИКАМИ 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 xml:space="preserve">согласованными действиями </w:t>
      </w:r>
      <w:r w:rsidRPr="00167E78">
        <w:rPr>
          <w:rFonts w:ascii="Times New Roman" w:hAnsi="Times New Roman" w:cs="Times New Roman"/>
          <w:sz w:val="28"/>
          <w:szCs w:val="28"/>
        </w:rPr>
        <w:lastRenderedPageBreak/>
        <w:t>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w:t>
      </w:r>
      <w:r w:rsidRPr="00167E78">
        <w:rPr>
          <w:rFonts w:ascii="Times New Roman" w:hAnsi="Times New Roman" w:cs="Times New Roman"/>
          <w:sz w:val="28"/>
          <w:szCs w:val="28"/>
        </w:rPr>
        <w:lastRenderedPageBreak/>
        <w:t xml:space="preserve">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GeneralRateIncrease),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ПРИМЕНЕНИИАНТИМОНОПОЛЬНЫМИОРГАНАМИАНТИМОНОПОЛЬНОГОЗАКОНОДАТЕЛЬСТВА ВЦЕЛЯХВЫЯВЛЕНИЯ ИПРЕСЕЧЕНИЯНАРУШЕНИЙПОРЯДКА ЦЕНООБРАЗОВАНИЯ</w:t>
      </w:r>
      <w:r w:rsidRPr="007721EE">
        <w:rPr>
          <w:rFonts w:ascii="Times New Roman" w:eastAsia="Calibri" w:hAnsi="Times New Roman" w:cs="Times New Roman"/>
          <w:b/>
          <w:sz w:val="28"/>
          <w:szCs w:val="28"/>
        </w:rPr>
        <w:t>»</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(например:постановление ФАС Восточно-Сибирского округа от 20.02.2014 по делу № А58-2490/2013;постановление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w:t>
      </w:r>
      <w:r w:rsidRPr="00B243F6">
        <w:rPr>
          <w:rFonts w:ascii="Times New Roman" w:eastAsia="Times New Roman" w:hAnsi="Times New Roman" w:cs="Times New Roman"/>
          <w:b/>
          <w:sz w:val="28"/>
          <w:szCs w:val="28"/>
        </w:rPr>
        <w:lastRenderedPageBreak/>
        <w:t>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w:t>
      </w:r>
      <w:r w:rsidRPr="00B243F6">
        <w:rPr>
          <w:rFonts w:ascii="Times New Roman" w:eastAsia="Times New Roman" w:hAnsi="Times New Roman" w:cs="Times New Roman"/>
          <w:b/>
          <w:color w:val="000000"/>
          <w:sz w:val="28"/>
          <w:szCs w:val="28"/>
          <w:shd w:val="clear" w:color="auto" w:fill="FFFFFF"/>
        </w:rPr>
        <w:lastRenderedPageBreak/>
        <w:t>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w:t>
      </w:r>
      <w:r w:rsidRPr="00B243F6">
        <w:rPr>
          <w:rFonts w:ascii="Times New Roman" w:eastAsia="MS Mincho" w:hAnsi="Times New Roman" w:cs="Times New Roman"/>
          <w:sz w:val="28"/>
          <w:szCs w:val="28"/>
          <w:lang w:eastAsia="ru-RU"/>
        </w:rPr>
        <w:lastRenderedPageBreak/>
        <w:t>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w:t>
      </w:r>
      <w:r w:rsidRPr="00B243F6">
        <w:rPr>
          <w:rFonts w:ascii="Times New Roman" w:eastAsia="MS Mincho" w:hAnsi="Times New Roman" w:cs="Times New Roman"/>
          <w:color w:val="000000"/>
          <w:sz w:val="28"/>
          <w:szCs w:val="28"/>
          <w:lang w:eastAsia="ru-RU"/>
        </w:rPr>
        <w:lastRenderedPageBreak/>
        <w:t>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Кто вправе обжаловать вколлегиальном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920" w:rsidRDefault="00856920" w:rsidP="000B72A0">
      <w:pPr>
        <w:spacing w:after="0" w:line="240" w:lineRule="auto"/>
      </w:pPr>
      <w:r>
        <w:separator/>
      </w:r>
    </w:p>
  </w:endnote>
  <w:endnote w:type="continuationSeparator" w:id="1">
    <w:p w:rsidR="00856920" w:rsidRDefault="00856920"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683AA6">
        <w:pPr>
          <w:pStyle w:val="a6"/>
          <w:jc w:val="center"/>
        </w:pPr>
        <w:r>
          <w:fldChar w:fldCharType="begin"/>
        </w:r>
        <w:r w:rsidR="009746F9">
          <w:instrText>PAGE   \* MERGEFORMAT</w:instrText>
        </w:r>
        <w:r>
          <w:fldChar w:fldCharType="separate"/>
        </w:r>
        <w:r w:rsidR="00553E26">
          <w:rPr>
            <w:noProof/>
          </w:rPr>
          <w:t>124</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920" w:rsidRDefault="00856920" w:rsidP="000B72A0">
      <w:pPr>
        <w:spacing w:after="0" w:line="240" w:lineRule="auto"/>
      </w:pPr>
      <w:r>
        <w:separator/>
      </w:r>
    </w:p>
  </w:footnote>
  <w:footnote w:type="continuationSeparator" w:id="1">
    <w:p w:rsidR="00856920" w:rsidRDefault="00856920"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10">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2">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5">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8">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63F"/>
    <w:rsid w:val="00004453"/>
    <w:rsid w:val="00032233"/>
    <w:rsid w:val="000B72A0"/>
    <w:rsid w:val="000E6392"/>
    <w:rsid w:val="0015341E"/>
    <w:rsid w:val="001E163F"/>
    <w:rsid w:val="00245C27"/>
    <w:rsid w:val="002A2712"/>
    <w:rsid w:val="003551B0"/>
    <w:rsid w:val="00361F88"/>
    <w:rsid w:val="00401C4A"/>
    <w:rsid w:val="00426657"/>
    <w:rsid w:val="004536AF"/>
    <w:rsid w:val="00553E26"/>
    <w:rsid w:val="0057567A"/>
    <w:rsid w:val="00582129"/>
    <w:rsid w:val="005C629F"/>
    <w:rsid w:val="0064464E"/>
    <w:rsid w:val="00683AA6"/>
    <w:rsid w:val="00771783"/>
    <w:rsid w:val="007721EE"/>
    <w:rsid w:val="00797FDC"/>
    <w:rsid w:val="00836940"/>
    <w:rsid w:val="00856920"/>
    <w:rsid w:val="008B3A19"/>
    <w:rsid w:val="008D01C1"/>
    <w:rsid w:val="008F2521"/>
    <w:rsid w:val="009746F9"/>
    <w:rsid w:val="00B243F6"/>
    <w:rsid w:val="00B56DC6"/>
    <w:rsid w:val="00B65DDA"/>
    <w:rsid w:val="00B93BCF"/>
    <w:rsid w:val="00C601CB"/>
    <w:rsid w:val="00C92207"/>
    <w:rsid w:val="00D52262"/>
    <w:rsid w:val="00E04AB7"/>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FDD2-767E-41CA-A9E9-FC167D93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52164</Words>
  <Characters>297338</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Afanaseva</cp:lastModifiedBy>
  <cp:revision>2</cp:revision>
  <cp:lastPrinted>2017-05-30T15:02:00Z</cp:lastPrinted>
  <dcterms:created xsi:type="dcterms:W3CDTF">2019-11-26T07:48:00Z</dcterms:created>
  <dcterms:modified xsi:type="dcterms:W3CDTF">2019-11-26T07:48:00Z</dcterms:modified>
</cp:coreProperties>
</file>